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-Normal"/>
        <w:spacing w:before="0" w:after="0"/>
        <w:jc w:val="center"/>
        <w:rPr>
          <w:szCs w:val="24"/>
          <w:lang w:val="uk-UA"/>
        </w:rPr>
      </w:pPr>
      <w:r>
        <w:rPr>
          <w:szCs w:val="24"/>
          <w:lang w:val="uk-UA"/>
        </w:rPr>
      </w:r>
    </w:p>
    <w:p>
      <w:pPr>
        <w:pStyle w:val="LO-Normal"/>
        <w:spacing w:before="0" w:after="0"/>
        <w:jc w:val="center"/>
        <w:rPr>
          <w:szCs w:val="24"/>
          <w:lang w:val="uk-UA"/>
        </w:rPr>
      </w:pPr>
      <w:r>
        <w:rPr>
          <w:szCs w:val="24"/>
          <w:lang w:val="uk-UA"/>
        </w:rPr>
        <w:t>РЕЗУЛЬТАТИ</w:t>
      </w:r>
    </w:p>
    <w:p>
      <w:pPr>
        <w:pStyle w:val="LO-Normal"/>
        <w:spacing w:before="0" w:after="0"/>
        <w:jc w:val="center"/>
        <w:rPr>
          <w:szCs w:val="24"/>
          <w:lang w:val="uk-UA"/>
        </w:rPr>
      </w:pPr>
      <w:r>
        <w:rPr>
          <w:szCs w:val="24"/>
          <w:lang w:val="uk-UA"/>
        </w:rPr>
        <w:t xml:space="preserve">проведення конкурсного відбору суб’єктів оціночної діяльності, проведеного конкурсною комісією </w:t>
      </w:r>
      <w:bookmarkStart w:id="0" w:name="_GoBack"/>
      <w:bookmarkEnd w:id="0"/>
      <w:r>
        <w:rPr>
          <w:szCs w:val="24"/>
          <w:lang w:val="uk-UA"/>
        </w:rPr>
        <w:t>з відбору суб’єктів оціночної діяльності, які будуть залучені до проведення експертної грошової оцінки земельних ділянок від 11.04.2025 року</w:t>
      </w:r>
    </w:p>
    <w:p>
      <w:pPr>
        <w:pStyle w:val="LO-Normal"/>
        <w:spacing w:before="0" w:after="0"/>
        <w:jc w:val="center"/>
        <w:rPr>
          <w:szCs w:val="24"/>
          <w:lang w:val="uk-UA"/>
        </w:rPr>
      </w:pPr>
      <w:r>
        <w:rPr>
          <w:szCs w:val="24"/>
          <w:lang w:val="uk-UA"/>
        </w:rPr>
      </w:r>
    </w:p>
    <w:tbl>
      <w:tblPr>
        <w:tblStyle w:val="a3"/>
        <w:tblW w:w="1530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1"/>
        <w:gridCol w:w="3118"/>
        <w:gridCol w:w="1559"/>
        <w:gridCol w:w="993"/>
        <w:gridCol w:w="3404"/>
        <w:gridCol w:w="2947"/>
        <w:gridCol w:w="1308"/>
        <w:gridCol w:w="1408"/>
      </w:tblGrid>
      <w:tr>
        <w:trPr/>
        <w:tc>
          <w:tcPr>
            <w:tcW w:w="561" w:type="dxa"/>
            <w:tcBorders/>
          </w:tcPr>
          <w:p>
            <w:pPr>
              <w:pStyle w:val="LO-Normal"/>
              <w:widowControl/>
              <w:spacing w:before="0" w:after="0"/>
              <w:jc w:val="left"/>
              <w:rPr>
                <w:szCs w:val="24"/>
                <w:lang w:val="uk-UA"/>
              </w:rPr>
            </w:pPr>
            <w:r>
              <w:rPr>
                <w:kern w:val="0"/>
                <w:szCs w:val="24"/>
                <w:lang w:val="uk-UA" w:bidi="ar-SA"/>
              </w:rPr>
              <w:t xml:space="preserve">№ </w:t>
            </w:r>
            <w:r>
              <w:rPr>
                <w:kern w:val="0"/>
                <w:szCs w:val="24"/>
                <w:lang w:val="uk-UA" w:bidi="ar-SA"/>
              </w:rPr>
              <w:t>з/п</w:t>
            </w:r>
          </w:p>
        </w:tc>
        <w:tc>
          <w:tcPr>
            <w:tcW w:w="3118" w:type="dxa"/>
            <w:tcBorders/>
          </w:tcPr>
          <w:p>
            <w:pPr>
              <w:pStyle w:val="LO-Normal"/>
              <w:widowControl/>
              <w:spacing w:before="0" w:after="0"/>
              <w:jc w:val="left"/>
              <w:rPr>
                <w:szCs w:val="24"/>
                <w:lang w:val="uk-UA"/>
              </w:rPr>
            </w:pPr>
            <w:r>
              <w:rPr>
                <w:kern w:val="0"/>
                <w:szCs w:val="24"/>
                <w:lang w:val="uk-UA" w:bidi="ar-SA"/>
              </w:rPr>
              <w:t>Адреса об</w:t>
            </w:r>
            <w:r>
              <w:rPr>
                <w:kern w:val="0"/>
                <w:szCs w:val="24"/>
                <w:lang w:val="en-US" w:bidi="ar-SA"/>
              </w:rPr>
              <w:t>’</w:t>
            </w:r>
            <w:r>
              <w:rPr>
                <w:kern w:val="0"/>
                <w:szCs w:val="24"/>
                <w:lang w:val="uk-UA" w:bidi="ar-SA"/>
              </w:rPr>
              <w:t>єкта оцінки</w:t>
            </w:r>
          </w:p>
        </w:tc>
        <w:tc>
          <w:tcPr>
            <w:tcW w:w="1559" w:type="dxa"/>
            <w:tcBorders/>
          </w:tcPr>
          <w:p>
            <w:pPr>
              <w:pStyle w:val="LO-Normal"/>
              <w:widowControl/>
              <w:spacing w:before="0" w:after="0"/>
              <w:jc w:val="center"/>
              <w:rPr>
                <w:szCs w:val="24"/>
                <w:lang w:val="uk-UA"/>
              </w:rPr>
            </w:pPr>
            <w:r>
              <w:rPr>
                <w:kern w:val="0"/>
                <w:szCs w:val="24"/>
                <w:lang w:val="uk-UA" w:bidi="ar-SA"/>
              </w:rPr>
              <w:t>Тип об</w:t>
            </w:r>
            <w:r>
              <w:rPr>
                <w:kern w:val="0"/>
                <w:szCs w:val="24"/>
                <w:lang w:val="en-US" w:bidi="ar-SA"/>
              </w:rPr>
              <w:t>’</w:t>
            </w:r>
            <w:r>
              <w:rPr>
                <w:kern w:val="0"/>
                <w:szCs w:val="24"/>
                <w:lang w:val="uk-UA" w:bidi="ar-SA"/>
              </w:rPr>
              <w:t>єкта оцінки</w:t>
            </w:r>
          </w:p>
        </w:tc>
        <w:tc>
          <w:tcPr>
            <w:tcW w:w="993" w:type="dxa"/>
            <w:tcBorders/>
          </w:tcPr>
          <w:p>
            <w:pPr>
              <w:pStyle w:val="LO-Normal"/>
              <w:widowControl/>
              <w:spacing w:before="0" w:after="0"/>
              <w:jc w:val="center"/>
              <w:rPr>
                <w:szCs w:val="24"/>
                <w:lang w:val="uk-UA"/>
              </w:rPr>
            </w:pPr>
            <w:r>
              <w:rPr>
                <w:kern w:val="0"/>
                <w:szCs w:val="24"/>
                <w:lang w:val="uk-UA" w:bidi="ar-SA"/>
              </w:rPr>
              <w:t>Площа кв.м</w:t>
            </w:r>
          </w:p>
        </w:tc>
        <w:tc>
          <w:tcPr>
            <w:tcW w:w="3404" w:type="dxa"/>
            <w:tcBorders/>
          </w:tcPr>
          <w:p>
            <w:pPr>
              <w:pStyle w:val="LO-Normal"/>
              <w:widowControl/>
              <w:spacing w:before="0" w:after="0"/>
              <w:jc w:val="center"/>
              <w:rPr>
                <w:szCs w:val="24"/>
                <w:lang w:val="uk-UA"/>
              </w:rPr>
            </w:pPr>
            <w:r>
              <w:rPr>
                <w:kern w:val="0"/>
                <w:szCs w:val="24"/>
                <w:lang w:val="uk-UA" w:bidi="ar-SA"/>
              </w:rPr>
              <w:t>Суб’єкти оціночної діяльності, які подали заяви на конкурс</w:t>
            </w:r>
          </w:p>
        </w:tc>
        <w:tc>
          <w:tcPr>
            <w:tcW w:w="2947" w:type="dxa"/>
            <w:tcBorders/>
          </w:tcPr>
          <w:p>
            <w:pPr>
              <w:pStyle w:val="LO-Normal"/>
              <w:widowControl/>
              <w:spacing w:before="0" w:after="0"/>
              <w:jc w:val="center"/>
              <w:rPr>
                <w:szCs w:val="24"/>
                <w:lang w:val="uk-UA"/>
              </w:rPr>
            </w:pPr>
            <w:r>
              <w:rPr>
                <w:kern w:val="0"/>
                <w:szCs w:val="24"/>
                <w:lang w:val="uk-UA" w:bidi="ar-SA"/>
              </w:rPr>
              <w:t>Переможець конкурсного відбору</w:t>
            </w:r>
          </w:p>
        </w:tc>
        <w:tc>
          <w:tcPr>
            <w:tcW w:w="1308" w:type="dxa"/>
            <w:tcBorders/>
          </w:tcPr>
          <w:p>
            <w:pPr>
              <w:pStyle w:val="LO-Normal"/>
              <w:widowControl/>
              <w:spacing w:before="0" w:after="0"/>
              <w:jc w:val="left"/>
              <w:rPr>
                <w:szCs w:val="24"/>
                <w:lang w:val="uk-UA"/>
              </w:rPr>
            </w:pPr>
            <w:r>
              <w:rPr>
                <w:kern w:val="0"/>
                <w:szCs w:val="24"/>
                <w:lang w:val="uk-UA" w:bidi="ar-SA"/>
              </w:rPr>
              <w:t>Вартість проведення робіт, грн</w:t>
            </w:r>
          </w:p>
        </w:tc>
        <w:tc>
          <w:tcPr>
            <w:tcW w:w="1408" w:type="dxa"/>
            <w:tcBorders/>
          </w:tcPr>
          <w:p>
            <w:pPr>
              <w:pStyle w:val="LO-Normal"/>
              <w:widowControl/>
              <w:spacing w:before="0" w:after="0"/>
              <w:jc w:val="left"/>
              <w:rPr>
                <w:szCs w:val="24"/>
                <w:lang w:val="uk-UA"/>
              </w:rPr>
            </w:pPr>
            <w:r>
              <w:rPr>
                <w:kern w:val="0"/>
                <w:szCs w:val="24"/>
                <w:lang w:val="uk-UA" w:bidi="ar-SA"/>
              </w:rPr>
              <w:t>Термін виконання робіт к.д.</w:t>
            </w:r>
          </w:p>
        </w:tc>
      </w:tr>
      <w:tr>
        <w:trPr>
          <w:trHeight w:val="677" w:hRule="atLeast"/>
        </w:trPr>
        <w:tc>
          <w:tcPr>
            <w:tcW w:w="561" w:type="dxa"/>
            <w:tcBorders/>
          </w:tcPr>
          <w:p>
            <w:pPr>
              <w:pStyle w:val="LO-Normal"/>
              <w:widowControl/>
              <w:spacing w:before="0" w:after="0"/>
              <w:jc w:val="left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</w:t>
            </w:r>
          </w:p>
        </w:tc>
        <w:tc>
          <w:tcPr>
            <w:tcW w:w="3118" w:type="dxa"/>
            <w:tcBorders/>
          </w:tcPr>
          <w:p>
            <w:pPr>
              <w:pStyle w:val="LO-Normal"/>
              <w:widowControl/>
              <w:spacing w:before="0" w:after="0"/>
              <w:jc w:val="left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пров. Робітничий</w:t>
            </w:r>
          </w:p>
        </w:tc>
        <w:tc>
          <w:tcPr>
            <w:tcW w:w="1559" w:type="dxa"/>
            <w:tcBorders/>
          </w:tcPr>
          <w:p>
            <w:pPr>
              <w:pStyle w:val="LO-Normal"/>
              <w:widowControl/>
              <w:spacing w:before="0" w:after="0"/>
              <w:jc w:val="center"/>
              <w:rPr>
                <w:szCs w:val="24"/>
                <w:lang w:val="uk-UA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uk-UA" w:eastAsia="uk-UA" w:bidi="ar-SA"/>
              </w:rPr>
              <w:t>земельна ділянка</w:t>
            </w:r>
          </w:p>
        </w:tc>
        <w:tc>
          <w:tcPr>
            <w:tcW w:w="993" w:type="dxa"/>
            <w:tcBorders/>
          </w:tcPr>
          <w:p>
            <w:pPr>
              <w:pStyle w:val="LO-Normal"/>
              <w:widowControl/>
              <w:spacing w:before="0"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1024</w:t>
            </w:r>
          </w:p>
        </w:tc>
        <w:tc>
          <w:tcPr>
            <w:tcW w:w="3404" w:type="dxa"/>
            <w:tcBorders/>
          </w:tcPr>
          <w:p>
            <w:pPr>
              <w:pStyle w:val="LO-Normal"/>
              <w:numPr>
                <w:ilvl w:val="0"/>
                <w:numId w:val="0"/>
              </w:numPr>
              <w:spacing w:before="0" w:after="0"/>
              <w:ind w:hanging="0" w:left="0"/>
              <w:jc w:val="both"/>
              <w:rPr/>
            </w:pPr>
            <w:r>
              <w:rPr>
                <w:szCs w:val="24"/>
                <w:shd w:fill="auto" w:val="clear"/>
                <w:lang w:val="uk-UA"/>
              </w:rPr>
              <w:t>ПП ЕКФ «Приватна справа»</w:t>
            </w:r>
          </w:p>
          <w:p>
            <w:pPr>
              <w:pStyle w:val="LO-Normal"/>
              <w:numPr>
                <w:ilvl w:val="0"/>
                <w:numId w:val="0"/>
              </w:numPr>
              <w:spacing w:before="0" w:after="0"/>
              <w:ind w:hanging="0" w:left="0"/>
              <w:jc w:val="both"/>
              <w:rPr/>
            </w:pPr>
            <w:r>
              <w:rPr>
                <w:szCs w:val="24"/>
                <w:shd w:fill="auto" w:val="clear"/>
                <w:lang w:val="uk-UA"/>
              </w:rPr>
              <w:t>ТОВ ОК «Україна-Захід»</w:t>
            </w:r>
          </w:p>
        </w:tc>
        <w:tc>
          <w:tcPr>
            <w:tcW w:w="2947" w:type="dxa"/>
            <w:tcBorders/>
          </w:tcPr>
          <w:p>
            <w:pPr>
              <w:pStyle w:val="LO-Normal"/>
              <w:numPr>
                <w:ilvl w:val="0"/>
                <w:numId w:val="0"/>
              </w:numPr>
              <w:spacing w:before="0" w:after="0"/>
              <w:ind w:hanging="0" w:left="0"/>
              <w:jc w:val="left"/>
              <w:rPr/>
            </w:pPr>
            <w:r>
              <w:rPr>
                <w:szCs w:val="24"/>
                <w:shd w:fill="auto" w:val="clear"/>
                <w:lang w:val="uk-UA"/>
              </w:rPr>
              <w:t>ПП ЕКФ «Приватна справа»</w:t>
            </w:r>
          </w:p>
        </w:tc>
        <w:tc>
          <w:tcPr>
            <w:tcW w:w="1308" w:type="dxa"/>
            <w:tcBorders/>
          </w:tcPr>
          <w:p>
            <w:pPr>
              <w:pStyle w:val="LO-Normal"/>
              <w:widowControl/>
              <w:spacing w:before="0"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4200,00</w:t>
            </w:r>
          </w:p>
        </w:tc>
        <w:tc>
          <w:tcPr>
            <w:tcW w:w="1408" w:type="dxa"/>
            <w:tcBorders/>
          </w:tcPr>
          <w:p>
            <w:pPr>
              <w:pStyle w:val="LO-Normal"/>
              <w:widowControl/>
              <w:spacing w:before="0"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20</w:t>
            </w:r>
          </w:p>
        </w:tc>
      </w:tr>
      <w:tr>
        <w:trPr/>
        <w:tc>
          <w:tcPr>
            <w:tcW w:w="561" w:type="dxa"/>
            <w:tcBorders/>
          </w:tcPr>
          <w:p>
            <w:pPr>
              <w:pStyle w:val="LO-Normal"/>
              <w:widowControl/>
              <w:spacing w:before="0" w:after="0"/>
              <w:jc w:val="left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</w:t>
            </w:r>
          </w:p>
        </w:tc>
        <w:tc>
          <w:tcPr>
            <w:tcW w:w="3118" w:type="dxa"/>
            <w:tcBorders/>
          </w:tcPr>
          <w:p>
            <w:pPr>
              <w:pStyle w:val="LO-Normal"/>
              <w:spacing w:before="0" w:after="0"/>
              <w:jc w:val="left"/>
              <w:rPr/>
            </w:pPr>
            <w:r>
              <w:rPr>
                <w:szCs w:val="24"/>
                <w:shd w:fill="auto" w:val="clear"/>
                <w:lang w:val="uk-UA"/>
              </w:rPr>
              <w:t>вул. Київська</w:t>
            </w:r>
          </w:p>
        </w:tc>
        <w:tc>
          <w:tcPr>
            <w:tcW w:w="1559" w:type="dxa"/>
            <w:tcBorders/>
          </w:tcPr>
          <w:p>
            <w:pPr>
              <w:pStyle w:val="LO-Normal"/>
              <w:widowControl/>
              <w:spacing w:before="0" w:after="0"/>
              <w:jc w:val="center"/>
              <w:rPr>
                <w:szCs w:val="24"/>
                <w:lang w:val="uk-UA"/>
              </w:rPr>
            </w:pPr>
            <w:r>
              <w:rPr>
                <w:kern w:val="0"/>
                <w:szCs w:val="24"/>
                <w:lang w:val="uk-UA" w:bidi="ar-SA"/>
              </w:rPr>
              <w:t>земельна ділянка</w:t>
            </w:r>
          </w:p>
        </w:tc>
        <w:tc>
          <w:tcPr>
            <w:tcW w:w="993" w:type="dxa"/>
            <w:tcBorders/>
          </w:tcPr>
          <w:p>
            <w:pPr>
              <w:pStyle w:val="LO-Normal"/>
              <w:spacing w:before="0" w:after="0"/>
              <w:jc w:val="center"/>
              <w:rPr/>
            </w:pPr>
            <w:r>
              <w:rPr>
                <w:szCs w:val="24"/>
                <w:lang w:val="uk-UA"/>
              </w:rPr>
              <w:t>8616</w:t>
            </w:r>
          </w:p>
        </w:tc>
        <w:tc>
          <w:tcPr>
            <w:tcW w:w="3404" w:type="dxa"/>
            <w:tcBorders/>
          </w:tcPr>
          <w:p>
            <w:pPr>
              <w:pStyle w:val="LO-Normal"/>
              <w:numPr>
                <w:ilvl w:val="0"/>
                <w:numId w:val="0"/>
              </w:numPr>
              <w:spacing w:before="0" w:after="0"/>
              <w:ind w:hanging="0" w:left="0"/>
              <w:jc w:val="both"/>
              <w:rPr/>
            </w:pPr>
            <w:r>
              <w:rPr>
                <w:szCs w:val="24"/>
                <w:shd w:fill="auto" w:val="clear"/>
                <w:lang w:val="uk-UA"/>
              </w:rPr>
              <w:t>ПП ЕКФ «Приватна справа»</w:t>
            </w:r>
          </w:p>
          <w:p>
            <w:pPr>
              <w:pStyle w:val="LO-Normal"/>
              <w:numPr>
                <w:ilvl w:val="0"/>
                <w:numId w:val="0"/>
              </w:numPr>
              <w:spacing w:before="0" w:after="0"/>
              <w:ind w:hanging="0" w:left="0"/>
              <w:jc w:val="both"/>
              <w:rPr/>
            </w:pPr>
            <w:r>
              <w:rPr>
                <w:szCs w:val="24"/>
                <w:shd w:fill="auto" w:val="clear"/>
                <w:lang w:val="uk-UA"/>
              </w:rPr>
              <w:t>ТОВ ОК «Україна-Захід»</w:t>
            </w:r>
          </w:p>
        </w:tc>
        <w:tc>
          <w:tcPr>
            <w:tcW w:w="2947" w:type="dxa"/>
            <w:tcBorders/>
          </w:tcPr>
          <w:p>
            <w:pPr>
              <w:pStyle w:val="LO-Normal"/>
              <w:numPr>
                <w:ilvl w:val="0"/>
                <w:numId w:val="0"/>
              </w:numPr>
              <w:spacing w:before="0" w:after="0"/>
              <w:ind w:hanging="0" w:left="0"/>
              <w:jc w:val="left"/>
              <w:rPr/>
            </w:pPr>
            <w:r>
              <w:rPr>
                <w:szCs w:val="24"/>
                <w:shd w:fill="auto" w:val="clear"/>
                <w:lang w:val="uk-UA"/>
              </w:rPr>
              <w:t>ТОВ ОК «Україна-Захід»</w:t>
            </w:r>
          </w:p>
        </w:tc>
        <w:tc>
          <w:tcPr>
            <w:tcW w:w="1308" w:type="dxa"/>
            <w:tcBorders/>
          </w:tcPr>
          <w:p>
            <w:pPr>
              <w:pStyle w:val="Normal"/>
              <w:spacing w:before="0" w:after="0"/>
              <w:ind w:hanging="0" w:left="0"/>
              <w:jc w:val="center"/>
              <w:rPr>
                <w:lang w:val="uk-UA"/>
              </w:rPr>
            </w:pPr>
            <w:r>
              <w:rPr>
                <w:lang w:val="uk-UA"/>
              </w:rPr>
              <w:t>4600,00</w:t>
            </w:r>
          </w:p>
        </w:tc>
        <w:tc>
          <w:tcPr>
            <w:tcW w:w="1408" w:type="dxa"/>
            <w:tcBorders/>
          </w:tcPr>
          <w:p>
            <w:pPr>
              <w:pStyle w:val="LO-Normal"/>
              <w:widowControl/>
              <w:spacing w:before="0"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14</w:t>
            </w:r>
          </w:p>
        </w:tc>
      </w:tr>
      <w:tr>
        <w:trPr/>
        <w:tc>
          <w:tcPr>
            <w:tcW w:w="561" w:type="dxa"/>
            <w:tcBorders/>
          </w:tcPr>
          <w:p>
            <w:pPr>
              <w:pStyle w:val="LO-Normal"/>
              <w:widowControl/>
              <w:spacing w:before="0" w:after="0"/>
              <w:jc w:val="left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</w:t>
            </w:r>
          </w:p>
        </w:tc>
        <w:tc>
          <w:tcPr>
            <w:tcW w:w="3118" w:type="dxa"/>
            <w:tcBorders/>
          </w:tcPr>
          <w:p>
            <w:pPr>
              <w:pStyle w:val="LO-Normal"/>
              <w:spacing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szCs w:val="24"/>
                <w:shd w:fill="auto" w:val="clear"/>
                <w:lang w:val="uk-UA"/>
              </w:rPr>
              <w:t>вул. В’ячеслава Чорновола</w:t>
            </w:r>
            <w:r>
              <w:rPr>
                <w:szCs w:val="24"/>
                <w:shd w:fill="auto" w:val="clear"/>
                <w:lang w:val="uk-UA"/>
              </w:rPr>
              <w:t xml:space="preserve">, </w:t>
            </w:r>
            <w:r>
              <w:rPr>
                <w:szCs w:val="24"/>
                <w:shd w:fill="auto" w:val="clear"/>
                <w:lang w:val="uk-UA"/>
              </w:rPr>
              <w:t>74 Г</w:t>
            </w:r>
          </w:p>
        </w:tc>
        <w:tc>
          <w:tcPr>
            <w:tcW w:w="1559" w:type="dxa"/>
            <w:tcBorders/>
          </w:tcPr>
          <w:p>
            <w:pPr>
              <w:pStyle w:val="LO-Normal"/>
              <w:widowControl/>
              <w:spacing w:before="0" w:after="0"/>
              <w:jc w:val="center"/>
              <w:rPr>
                <w:szCs w:val="24"/>
                <w:lang w:val="uk-UA"/>
              </w:rPr>
            </w:pPr>
            <w:r>
              <w:rPr>
                <w:kern w:val="0"/>
                <w:szCs w:val="24"/>
                <w:lang w:val="uk-UA" w:bidi="ar-SA"/>
              </w:rPr>
              <w:t>земельна ділянка</w:t>
            </w:r>
          </w:p>
        </w:tc>
        <w:tc>
          <w:tcPr>
            <w:tcW w:w="993" w:type="dxa"/>
            <w:tcBorders/>
          </w:tcPr>
          <w:p>
            <w:pPr>
              <w:pStyle w:val="LO-Normal"/>
              <w:spacing w:before="0" w:after="0"/>
              <w:jc w:val="center"/>
              <w:rPr/>
            </w:pPr>
            <w:r>
              <w:rPr>
                <w:szCs w:val="24"/>
                <w:shd w:fill="auto" w:val="clear"/>
                <w:lang w:val="uk-UA"/>
              </w:rPr>
              <w:t>831</w:t>
            </w:r>
          </w:p>
        </w:tc>
        <w:tc>
          <w:tcPr>
            <w:tcW w:w="3404" w:type="dxa"/>
            <w:tcBorders/>
          </w:tcPr>
          <w:p>
            <w:pPr>
              <w:pStyle w:val="LO-Normal"/>
              <w:numPr>
                <w:ilvl w:val="0"/>
                <w:numId w:val="0"/>
              </w:numPr>
              <w:spacing w:before="0" w:after="0"/>
              <w:ind w:hanging="0" w:left="0"/>
              <w:jc w:val="both"/>
              <w:rPr/>
            </w:pPr>
            <w:r>
              <w:rPr>
                <w:szCs w:val="24"/>
                <w:shd w:fill="auto" w:val="clear"/>
                <w:lang w:val="uk-UA"/>
              </w:rPr>
              <w:t>ПП ЕКФ «Приватна справа»</w:t>
            </w:r>
          </w:p>
          <w:p>
            <w:pPr>
              <w:pStyle w:val="LO-Normal"/>
              <w:numPr>
                <w:ilvl w:val="0"/>
                <w:numId w:val="0"/>
              </w:numPr>
              <w:spacing w:before="0" w:after="0"/>
              <w:ind w:hanging="0" w:left="0"/>
              <w:jc w:val="both"/>
              <w:rPr/>
            </w:pPr>
            <w:r>
              <w:rPr>
                <w:szCs w:val="24"/>
                <w:shd w:fill="auto" w:val="clear"/>
                <w:lang w:val="uk-UA"/>
              </w:rPr>
              <w:t>ТОВ ОК «Україна-Захід»</w:t>
            </w:r>
          </w:p>
        </w:tc>
        <w:tc>
          <w:tcPr>
            <w:tcW w:w="2947" w:type="dxa"/>
            <w:tcBorders/>
          </w:tcPr>
          <w:p>
            <w:pPr>
              <w:pStyle w:val="LO-Normal"/>
              <w:numPr>
                <w:ilvl w:val="0"/>
                <w:numId w:val="0"/>
              </w:numPr>
              <w:spacing w:before="0" w:after="0"/>
              <w:ind w:hanging="0" w:left="0"/>
              <w:jc w:val="left"/>
              <w:rPr/>
            </w:pPr>
            <w:r>
              <w:rPr>
                <w:szCs w:val="24"/>
                <w:shd w:fill="auto" w:val="clear"/>
                <w:lang w:val="uk-UA"/>
              </w:rPr>
              <w:t>ТОВ ОК «Україна-Захід»</w:t>
            </w:r>
          </w:p>
        </w:tc>
        <w:tc>
          <w:tcPr>
            <w:tcW w:w="1308" w:type="dxa"/>
            <w:tcBorders/>
          </w:tcPr>
          <w:p>
            <w:pPr>
              <w:pStyle w:val="LO-Normal"/>
              <w:widowControl/>
              <w:spacing w:before="0" w:after="0"/>
              <w:ind w:left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6700,00</w:t>
            </w:r>
          </w:p>
        </w:tc>
        <w:tc>
          <w:tcPr>
            <w:tcW w:w="1408" w:type="dxa"/>
            <w:tcBorders/>
          </w:tcPr>
          <w:p>
            <w:pPr>
              <w:pStyle w:val="LO-Normal"/>
              <w:widowControl/>
              <w:spacing w:before="0"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21</w:t>
            </w:r>
          </w:p>
        </w:tc>
      </w:tr>
      <w:tr>
        <w:trPr>
          <w:trHeight w:val="599" w:hRule="atLeast"/>
        </w:trPr>
        <w:tc>
          <w:tcPr>
            <w:tcW w:w="561" w:type="dxa"/>
            <w:tcBorders/>
          </w:tcPr>
          <w:p>
            <w:pPr>
              <w:pStyle w:val="LO-Normal"/>
              <w:widowControl/>
              <w:spacing w:before="0" w:after="0"/>
              <w:jc w:val="left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</w:t>
            </w:r>
          </w:p>
        </w:tc>
        <w:tc>
          <w:tcPr>
            <w:tcW w:w="3118" w:type="dxa"/>
            <w:tcBorders/>
          </w:tcPr>
          <w:p>
            <w:pPr>
              <w:pStyle w:val="LO-Normal"/>
              <w:spacing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szCs w:val="24"/>
                <w:shd w:fill="auto" w:val="clear"/>
                <w:lang w:val="uk-UA"/>
              </w:rPr>
              <w:t>вул. Біла, 85</w:t>
            </w:r>
          </w:p>
        </w:tc>
        <w:tc>
          <w:tcPr>
            <w:tcW w:w="1559" w:type="dxa"/>
            <w:tcBorders/>
          </w:tcPr>
          <w:p>
            <w:pPr>
              <w:pStyle w:val="LO-Normal"/>
              <w:widowControl/>
              <w:spacing w:before="0" w:after="0"/>
              <w:jc w:val="center"/>
              <w:rPr>
                <w:szCs w:val="24"/>
                <w:lang w:val="uk-UA"/>
              </w:rPr>
            </w:pPr>
            <w:r>
              <w:rPr>
                <w:kern w:val="0"/>
                <w:szCs w:val="24"/>
                <w:lang w:val="uk-UA" w:bidi="ar-SA"/>
              </w:rPr>
              <w:t>земельна ділянка</w:t>
            </w:r>
          </w:p>
        </w:tc>
        <w:tc>
          <w:tcPr>
            <w:tcW w:w="993" w:type="dxa"/>
            <w:tcBorders/>
          </w:tcPr>
          <w:p>
            <w:pPr>
              <w:pStyle w:val="LO-Normal"/>
              <w:spacing w:before="0" w:after="0"/>
              <w:jc w:val="center"/>
              <w:rPr/>
            </w:pPr>
            <w:r>
              <w:rPr>
                <w:szCs w:val="24"/>
                <w:shd w:fill="auto" w:val="clear"/>
                <w:lang w:val="uk-UA"/>
              </w:rPr>
              <w:t>973</w:t>
            </w:r>
          </w:p>
        </w:tc>
        <w:tc>
          <w:tcPr>
            <w:tcW w:w="3404" w:type="dxa"/>
            <w:tcBorders/>
          </w:tcPr>
          <w:p>
            <w:pPr>
              <w:pStyle w:val="LO-Normal"/>
              <w:numPr>
                <w:ilvl w:val="0"/>
                <w:numId w:val="0"/>
              </w:numPr>
              <w:spacing w:before="0" w:after="0"/>
              <w:ind w:hanging="0" w:left="0"/>
              <w:jc w:val="both"/>
              <w:rPr/>
            </w:pPr>
            <w:r>
              <w:rPr>
                <w:szCs w:val="24"/>
                <w:shd w:fill="auto" w:val="clear"/>
                <w:lang w:val="uk-UA"/>
              </w:rPr>
              <w:t>ПП ЕКФ «Приватна справа»</w:t>
            </w:r>
          </w:p>
          <w:p>
            <w:pPr>
              <w:pStyle w:val="LO-Normal"/>
              <w:numPr>
                <w:ilvl w:val="0"/>
                <w:numId w:val="0"/>
              </w:numPr>
              <w:spacing w:before="0" w:after="0"/>
              <w:ind w:hanging="0" w:left="0"/>
              <w:jc w:val="both"/>
              <w:rPr/>
            </w:pPr>
            <w:r>
              <w:rPr>
                <w:szCs w:val="24"/>
                <w:shd w:fill="auto" w:val="clear"/>
                <w:lang w:val="uk-UA"/>
              </w:rPr>
              <w:t>ТОВ ОК «Україна-Захід»</w:t>
            </w:r>
          </w:p>
          <w:p>
            <w:pPr>
              <w:pStyle w:val="LO-Normal"/>
              <w:numPr>
                <w:ilvl w:val="0"/>
                <w:numId w:val="0"/>
              </w:numPr>
              <w:spacing w:before="0" w:after="0"/>
              <w:ind w:hanging="0" w:left="0"/>
              <w:jc w:val="both"/>
              <w:rPr/>
            </w:pPr>
            <w:r>
              <w:rPr>
                <w:szCs w:val="24"/>
                <w:shd w:fill="auto" w:val="clear"/>
                <w:lang w:val="uk-UA"/>
              </w:rPr>
              <w:t>ТОВ ЕФ «Нива-Експерт»</w:t>
            </w:r>
          </w:p>
          <w:p>
            <w:pPr>
              <w:pStyle w:val="LO-Normal"/>
              <w:numPr>
                <w:ilvl w:val="0"/>
                <w:numId w:val="0"/>
              </w:numPr>
              <w:spacing w:before="0" w:after="0"/>
              <w:ind w:hanging="0" w:left="0"/>
              <w:jc w:val="both"/>
              <w:rPr/>
            </w:pPr>
            <w:r>
              <w:rPr>
                <w:szCs w:val="24"/>
                <w:shd w:fill="auto" w:val="clear"/>
              </w:rPr>
              <w:t>ПП «Експерт-Рівне-Консалт»</w:t>
            </w:r>
          </w:p>
        </w:tc>
        <w:tc>
          <w:tcPr>
            <w:tcW w:w="2947" w:type="dxa"/>
            <w:tcBorders/>
          </w:tcPr>
          <w:p>
            <w:pPr>
              <w:pStyle w:val="LO-Normal"/>
              <w:numPr>
                <w:ilvl w:val="0"/>
                <w:numId w:val="0"/>
              </w:numPr>
              <w:spacing w:before="0" w:after="0"/>
              <w:ind w:hanging="0" w:left="0"/>
              <w:jc w:val="left"/>
              <w:rPr/>
            </w:pPr>
            <w:r>
              <w:rPr>
                <w:szCs w:val="24"/>
                <w:shd w:fill="auto" w:val="clear"/>
                <w:lang w:val="uk-UA"/>
              </w:rPr>
              <w:t>ТОВ ЕФ «Нива-Експерт»</w:t>
            </w:r>
          </w:p>
        </w:tc>
        <w:tc>
          <w:tcPr>
            <w:tcW w:w="1308" w:type="dxa"/>
            <w:tcBorders/>
          </w:tcPr>
          <w:p>
            <w:pPr>
              <w:pStyle w:val="LO-Normal"/>
              <w:widowControl/>
              <w:spacing w:before="0" w:after="0"/>
              <w:ind w:left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7000,00</w:t>
            </w:r>
          </w:p>
        </w:tc>
        <w:tc>
          <w:tcPr>
            <w:tcW w:w="1408" w:type="dxa"/>
            <w:tcBorders/>
          </w:tcPr>
          <w:p>
            <w:pPr>
              <w:pStyle w:val="LO-Normal"/>
              <w:widowControl/>
              <w:spacing w:before="0"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21</w:t>
            </w:r>
          </w:p>
        </w:tc>
      </w:tr>
      <w:tr>
        <w:trPr/>
        <w:tc>
          <w:tcPr>
            <w:tcW w:w="561" w:type="dxa"/>
            <w:tcBorders/>
          </w:tcPr>
          <w:p>
            <w:pPr>
              <w:pStyle w:val="LO-Normal"/>
              <w:widowControl/>
              <w:spacing w:before="0" w:after="0"/>
              <w:jc w:val="left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5</w:t>
            </w:r>
          </w:p>
        </w:tc>
        <w:tc>
          <w:tcPr>
            <w:tcW w:w="3118" w:type="dxa"/>
            <w:tcBorders/>
          </w:tcPr>
          <w:p>
            <w:pPr>
              <w:pStyle w:val="LO-Normal"/>
              <w:spacing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szCs w:val="24"/>
                <w:shd w:fill="auto" w:val="clear"/>
                <w:lang w:val="uk-UA"/>
              </w:rPr>
              <w:t>вул. Соборна, 420</w:t>
            </w:r>
          </w:p>
        </w:tc>
        <w:tc>
          <w:tcPr>
            <w:tcW w:w="1559" w:type="dxa"/>
            <w:tcBorders/>
          </w:tcPr>
          <w:p>
            <w:pPr>
              <w:pStyle w:val="LO-Normal"/>
              <w:widowControl/>
              <w:spacing w:before="0" w:after="0"/>
              <w:jc w:val="center"/>
              <w:rPr>
                <w:szCs w:val="24"/>
                <w:lang w:val="uk-UA"/>
              </w:rPr>
            </w:pPr>
            <w:r>
              <w:rPr>
                <w:kern w:val="0"/>
                <w:szCs w:val="24"/>
                <w:lang w:val="uk-UA" w:bidi="ar-SA"/>
              </w:rPr>
              <w:t>земельна ділянка</w:t>
            </w:r>
          </w:p>
        </w:tc>
        <w:tc>
          <w:tcPr>
            <w:tcW w:w="993" w:type="dxa"/>
            <w:tcBorders/>
          </w:tcPr>
          <w:p>
            <w:pPr>
              <w:pStyle w:val="LO-Normal"/>
              <w:spacing w:before="0" w:after="0"/>
              <w:jc w:val="center"/>
              <w:rPr/>
            </w:pPr>
            <w:r>
              <w:rPr>
                <w:lang w:val="uk-UA"/>
              </w:rPr>
              <w:t>598</w:t>
            </w:r>
          </w:p>
        </w:tc>
        <w:tc>
          <w:tcPr>
            <w:tcW w:w="3404" w:type="dxa"/>
            <w:tcBorders/>
          </w:tcPr>
          <w:p>
            <w:pPr>
              <w:pStyle w:val="LO-Normal"/>
              <w:numPr>
                <w:ilvl w:val="0"/>
                <w:numId w:val="0"/>
              </w:numPr>
              <w:spacing w:before="0" w:after="0"/>
              <w:ind w:hanging="0" w:left="0"/>
              <w:jc w:val="both"/>
              <w:rPr/>
            </w:pPr>
            <w:r>
              <w:rPr>
                <w:szCs w:val="24"/>
                <w:shd w:fill="auto" w:val="clear"/>
                <w:lang w:val="uk-UA"/>
              </w:rPr>
              <w:t>ПП ЕКФ «Приватна справа»</w:t>
            </w:r>
          </w:p>
          <w:p>
            <w:pPr>
              <w:pStyle w:val="LO-Normal"/>
              <w:numPr>
                <w:ilvl w:val="0"/>
                <w:numId w:val="0"/>
              </w:numPr>
              <w:spacing w:before="0" w:after="0"/>
              <w:ind w:hanging="0" w:left="0"/>
              <w:jc w:val="both"/>
              <w:rPr/>
            </w:pPr>
            <w:r>
              <w:rPr>
                <w:szCs w:val="24"/>
                <w:shd w:fill="auto" w:val="clear"/>
                <w:lang w:val="uk-UA"/>
              </w:rPr>
              <w:t>ТОВ ОК «Україна-Захід»</w:t>
            </w:r>
          </w:p>
        </w:tc>
        <w:tc>
          <w:tcPr>
            <w:tcW w:w="2947" w:type="dxa"/>
            <w:tcBorders/>
          </w:tcPr>
          <w:p>
            <w:pPr>
              <w:pStyle w:val="LO-Normal"/>
              <w:numPr>
                <w:ilvl w:val="0"/>
                <w:numId w:val="0"/>
              </w:numPr>
              <w:spacing w:before="0" w:after="0"/>
              <w:ind w:hanging="0" w:left="0"/>
              <w:jc w:val="left"/>
              <w:rPr/>
            </w:pPr>
            <w:r>
              <w:rPr>
                <w:szCs w:val="24"/>
                <w:shd w:fill="auto" w:val="clear"/>
                <w:lang w:val="uk-UA"/>
              </w:rPr>
              <w:t>ПП ЕКФ «Приватна справа»</w:t>
            </w:r>
          </w:p>
        </w:tc>
        <w:tc>
          <w:tcPr>
            <w:tcW w:w="1308" w:type="dxa"/>
            <w:tcBorders/>
          </w:tcPr>
          <w:p>
            <w:pPr>
              <w:pStyle w:val="LO-Normal"/>
              <w:widowControl/>
              <w:spacing w:before="0" w:after="0"/>
              <w:ind w:left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5500,00</w:t>
            </w:r>
          </w:p>
        </w:tc>
        <w:tc>
          <w:tcPr>
            <w:tcW w:w="1408" w:type="dxa"/>
            <w:tcBorders/>
          </w:tcPr>
          <w:p>
            <w:pPr>
              <w:pStyle w:val="LO-Normal"/>
              <w:widowControl/>
              <w:spacing w:before="0"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20</w:t>
            </w:r>
          </w:p>
        </w:tc>
      </w:tr>
      <w:tr>
        <w:trPr/>
        <w:tc>
          <w:tcPr>
            <w:tcW w:w="561" w:type="dxa"/>
            <w:tcBorders>
              <w:top w:val="nil"/>
            </w:tcBorders>
          </w:tcPr>
          <w:p>
            <w:pPr>
              <w:pStyle w:val="LO-Normal"/>
              <w:widowControl/>
              <w:spacing w:before="0" w:after="0"/>
              <w:jc w:val="left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6</w:t>
            </w:r>
          </w:p>
        </w:tc>
        <w:tc>
          <w:tcPr>
            <w:tcW w:w="3118" w:type="dxa"/>
            <w:tcBorders>
              <w:top w:val="nil"/>
            </w:tcBorders>
          </w:tcPr>
          <w:p>
            <w:pPr>
              <w:pStyle w:val="LO-Normal"/>
              <w:spacing w:before="0" w:after="0"/>
              <w:jc w:val="left"/>
              <w:rPr/>
            </w:pPr>
            <w:r>
              <w:rPr>
                <w:szCs w:val="24"/>
                <w:shd w:fill="auto" w:val="clear"/>
                <w:lang w:val="uk-UA"/>
              </w:rPr>
              <w:t>вул. Гетьмана Сгайдачного, 1</w:t>
            </w:r>
          </w:p>
        </w:tc>
        <w:tc>
          <w:tcPr>
            <w:tcW w:w="1559" w:type="dxa"/>
            <w:tcBorders>
              <w:top w:val="nil"/>
            </w:tcBorders>
          </w:tcPr>
          <w:p>
            <w:pPr>
              <w:pStyle w:val="LO-Normal"/>
              <w:widowControl/>
              <w:spacing w:before="0" w:after="0"/>
              <w:jc w:val="center"/>
              <w:rPr>
                <w:szCs w:val="24"/>
                <w:lang w:val="uk-UA"/>
              </w:rPr>
            </w:pPr>
            <w:r>
              <w:rPr>
                <w:kern w:val="0"/>
                <w:lang w:bidi="ar-SA"/>
              </w:rPr>
              <w:t>земельна ділянка</w:t>
            </w:r>
          </w:p>
        </w:tc>
        <w:tc>
          <w:tcPr>
            <w:tcW w:w="993" w:type="dxa"/>
            <w:tcBorders>
              <w:top w:val="nil"/>
            </w:tcBorders>
          </w:tcPr>
          <w:p>
            <w:pPr>
              <w:pStyle w:val="LO-Normal"/>
              <w:spacing w:before="0" w:after="0"/>
              <w:jc w:val="center"/>
              <w:rPr/>
            </w:pPr>
            <w:r>
              <w:rPr>
                <w:rFonts w:cs="Times New Roman"/>
                <w:b w:val="false"/>
                <w:bCs w:val="false"/>
                <w:color w:val="000000"/>
                <w:position w:val="0"/>
                <w:sz w:val="24"/>
                <w:sz w:val="24"/>
                <w:szCs w:val="24"/>
                <w:vertAlign w:val="baseline"/>
                <w:lang w:val="uk-UA"/>
              </w:rPr>
              <w:t>800</w:t>
            </w:r>
          </w:p>
        </w:tc>
        <w:tc>
          <w:tcPr>
            <w:tcW w:w="3404" w:type="dxa"/>
            <w:tcBorders>
              <w:top w:val="nil"/>
            </w:tcBorders>
          </w:tcPr>
          <w:p>
            <w:pPr>
              <w:pStyle w:val="LO-Normal"/>
              <w:numPr>
                <w:ilvl w:val="0"/>
                <w:numId w:val="0"/>
              </w:numPr>
              <w:spacing w:before="0" w:after="0"/>
              <w:ind w:hanging="0" w:left="0"/>
              <w:jc w:val="both"/>
              <w:rPr/>
            </w:pPr>
            <w:r>
              <w:rPr>
                <w:szCs w:val="24"/>
                <w:shd w:fill="auto" w:val="clear"/>
                <w:lang w:val="uk-UA"/>
              </w:rPr>
              <w:t>ПП ЕКФ «Приватна справа»</w:t>
            </w:r>
          </w:p>
          <w:p>
            <w:pPr>
              <w:pStyle w:val="LO-Normal"/>
              <w:numPr>
                <w:ilvl w:val="0"/>
                <w:numId w:val="0"/>
              </w:numPr>
              <w:spacing w:before="0" w:after="0"/>
              <w:ind w:hanging="0" w:left="0"/>
              <w:jc w:val="both"/>
              <w:rPr/>
            </w:pPr>
            <w:r>
              <w:rPr>
                <w:szCs w:val="24"/>
                <w:shd w:fill="auto" w:val="clear"/>
                <w:lang w:val="uk-UA"/>
              </w:rPr>
              <w:t>ТОВ ОК «Україна-Захід»</w:t>
            </w:r>
          </w:p>
        </w:tc>
        <w:tc>
          <w:tcPr>
            <w:tcW w:w="2947" w:type="dxa"/>
            <w:tcBorders>
              <w:top w:val="nil"/>
            </w:tcBorders>
          </w:tcPr>
          <w:p>
            <w:pPr>
              <w:pStyle w:val="LO-Normal"/>
              <w:numPr>
                <w:ilvl w:val="0"/>
                <w:numId w:val="0"/>
              </w:numPr>
              <w:spacing w:before="0" w:after="0"/>
              <w:ind w:hanging="0" w:left="0"/>
              <w:jc w:val="left"/>
              <w:rPr/>
            </w:pPr>
            <w:r>
              <w:rPr>
                <w:szCs w:val="24"/>
                <w:lang w:val="uk-UA"/>
              </w:rPr>
              <w:t>ТОВ ОК «Україна-Захід»</w:t>
            </w:r>
          </w:p>
        </w:tc>
        <w:tc>
          <w:tcPr>
            <w:tcW w:w="1308" w:type="dxa"/>
            <w:tcBorders>
              <w:top w:val="nil"/>
            </w:tcBorders>
          </w:tcPr>
          <w:p>
            <w:pPr>
              <w:pStyle w:val="LO-Normal"/>
              <w:widowControl/>
              <w:spacing w:before="0" w:after="0"/>
              <w:ind w:left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6900,00</w:t>
            </w:r>
          </w:p>
        </w:tc>
        <w:tc>
          <w:tcPr>
            <w:tcW w:w="1408" w:type="dxa"/>
            <w:tcBorders>
              <w:top w:val="nil"/>
            </w:tcBorders>
          </w:tcPr>
          <w:p>
            <w:pPr>
              <w:pStyle w:val="LO-Normal"/>
              <w:widowControl/>
              <w:spacing w:before="0"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21</w:t>
            </w:r>
          </w:p>
        </w:tc>
      </w:tr>
      <w:tr>
        <w:trPr/>
        <w:tc>
          <w:tcPr>
            <w:tcW w:w="561" w:type="dxa"/>
            <w:tcBorders>
              <w:top w:val="nil"/>
            </w:tcBorders>
          </w:tcPr>
          <w:p>
            <w:pPr>
              <w:pStyle w:val="LO-Normal"/>
              <w:widowControl/>
              <w:spacing w:before="0" w:after="0"/>
              <w:jc w:val="left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7</w:t>
            </w:r>
          </w:p>
        </w:tc>
        <w:tc>
          <w:tcPr>
            <w:tcW w:w="3118" w:type="dxa"/>
            <w:tcBorders>
              <w:top w:val="nil"/>
            </w:tcBorders>
          </w:tcPr>
          <w:p>
            <w:pPr>
              <w:pStyle w:val="LO-Normal"/>
              <w:spacing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b w:val="false"/>
                <w:bCs w:val="false"/>
                <w:position w:val="0"/>
                <w:sz w:val="24"/>
                <w:sz w:val="24"/>
                <w:szCs w:val="24"/>
                <w:shd w:fill="auto" w:val="clear"/>
                <w:vertAlign w:val="baseline"/>
                <w:lang w:val="uk-UA"/>
              </w:rPr>
              <w:t>вул. Богоявленська,35</w:t>
            </w:r>
          </w:p>
        </w:tc>
        <w:tc>
          <w:tcPr>
            <w:tcW w:w="1559" w:type="dxa"/>
            <w:tcBorders>
              <w:top w:val="nil"/>
            </w:tcBorders>
          </w:tcPr>
          <w:p>
            <w:pPr>
              <w:pStyle w:val="LO-Normal"/>
              <w:widowControl/>
              <w:spacing w:before="0" w:after="0"/>
              <w:jc w:val="center"/>
              <w:rPr>
                <w:szCs w:val="24"/>
                <w:lang w:val="uk-UA"/>
              </w:rPr>
            </w:pPr>
            <w:r>
              <w:rPr>
                <w:kern w:val="0"/>
                <w:lang w:bidi="ar-SA"/>
              </w:rPr>
              <w:t>земельна ділянка</w:t>
            </w:r>
          </w:p>
        </w:tc>
        <w:tc>
          <w:tcPr>
            <w:tcW w:w="993" w:type="dxa"/>
            <w:tcBorders>
              <w:top w:val="nil"/>
            </w:tcBorders>
          </w:tcPr>
          <w:p>
            <w:pPr>
              <w:pStyle w:val="LO-Normal"/>
              <w:spacing w:before="0" w:after="0"/>
              <w:jc w:val="center"/>
              <w:rPr/>
            </w:pPr>
            <w:r>
              <w:rPr>
                <w:lang w:val="uk-UA"/>
              </w:rPr>
              <w:t>180</w:t>
            </w:r>
          </w:p>
        </w:tc>
        <w:tc>
          <w:tcPr>
            <w:tcW w:w="3404" w:type="dxa"/>
            <w:tcBorders>
              <w:top w:val="nil"/>
            </w:tcBorders>
          </w:tcPr>
          <w:p>
            <w:pPr>
              <w:pStyle w:val="LO-Normal"/>
              <w:numPr>
                <w:ilvl w:val="0"/>
                <w:numId w:val="0"/>
              </w:numPr>
              <w:spacing w:before="0" w:after="0"/>
              <w:ind w:hanging="0" w:left="0"/>
              <w:jc w:val="both"/>
              <w:rPr/>
            </w:pPr>
            <w:r>
              <w:rPr>
                <w:szCs w:val="24"/>
                <w:shd w:fill="auto" w:val="clear"/>
                <w:lang w:val="uk-UA"/>
              </w:rPr>
              <w:t>ПП ЕКФ «Приватна справа»</w:t>
            </w:r>
          </w:p>
          <w:p>
            <w:pPr>
              <w:pStyle w:val="LO-Normal"/>
              <w:numPr>
                <w:ilvl w:val="0"/>
                <w:numId w:val="0"/>
              </w:numPr>
              <w:spacing w:before="0" w:after="0"/>
              <w:ind w:hanging="0" w:left="0"/>
              <w:jc w:val="both"/>
              <w:rPr/>
            </w:pPr>
            <w:r>
              <w:rPr>
                <w:szCs w:val="24"/>
                <w:shd w:fill="auto" w:val="clear"/>
                <w:lang w:val="uk-UA"/>
              </w:rPr>
              <w:t>ТОВ ОК «Україна-Захід»</w:t>
            </w:r>
          </w:p>
          <w:p>
            <w:pPr>
              <w:pStyle w:val="LO-Normal"/>
              <w:numPr>
                <w:ilvl w:val="0"/>
                <w:numId w:val="0"/>
              </w:numPr>
              <w:spacing w:before="0" w:after="0"/>
              <w:ind w:hanging="0" w:left="0"/>
              <w:jc w:val="both"/>
              <w:rPr/>
            </w:pPr>
            <w:r>
              <w:rPr>
                <w:szCs w:val="24"/>
                <w:shd w:fill="auto" w:val="clear"/>
                <w:lang w:val="uk-UA"/>
              </w:rPr>
              <w:t>ТОВ ЕФ «Нива-Експерт»</w:t>
            </w:r>
          </w:p>
          <w:p>
            <w:pPr>
              <w:pStyle w:val="LO-Normal"/>
              <w:numPr>
                <w:ilvl w:val="0"/>
                <w:numId w:val="0"/>
              </w:numPr>
              <w:spacing w:before="0" w:after="0"/>
              <w:ind w:hanging="0" w:left="0"/>
              <w:jc w:val="both"/>
              <w:rPr/>
            </w:pPr>
            <w:r>
              <w:rPr>
                <w:szCs w:val="24"/>
                <w:shd w:fill="auto" w:val="clear"/>
                <w:lang w:val="uk-UA"/>
              </w:rPr>
              <w:t>ППФ «Експерт-Рівне»</w:t>
            </w:r>
          </w:p>
        </w:tc>
        <w:tc>
          <w:tcPr>
            <w:tcW w:w="2947" w:type="dxa"/>
            <w:tcBorders>
              <w:top w:val="nil"/>
            </w:tcBorders>
          </w:tcPr>
          <w:p>
            <w:pPr>
              <w:pStyle w:val="LO-Normal"/>
              <w:numPr>
                <w:ilvl w:val="0"/>
                <w:numId w:val="0"/>
              </w:numPr>
              <w:spacing w:before="0" w:after="0"/>
              <w:ind w:hanging="0" w:left="0"/>
              <w:jc w:val="left"/>
              <w:rPr/>
            </w:pPr>
            <w:r>
              <w:rPr>
                <w:szCs w:val="24"/>
                <w:shd w:fill="auto" w:val="clear"/>
                <w:lang w:val="uk-UA"/>
              </w:rPr>
              <w:t>ППФ «Експерт-Рівне»</w:t>
            </w:r>
          </w:p>
        </w:tc>
        <w:tc>
          <w:tcPr>
            <w:tcW w:w="1308" w:type="dxa"/>
            <w:tcBorders>
              <w:top w:val="nil"/>
            </w:tcBorders>
          </w:tcPr>
          <w:p>
            <w:pPr>
              <w:pStyle w:val="LO-Normal"/>
              <w:widowControl/>
              <w:spacing w:before="0" w:after="0"/>
              <w:ind w:left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4400,00</w:t>
            </w:r>
          </w:p>
        </w:tc>
        <w:tc>
          <w:tcPr>
            <w:tcW w:w="1408" w:type="dxa"/>
            <w:tcBorders>
              <w:top w:val="nil"/>
            </w:tcBorders>
          </w:tcPr>
          <w:p>
            <w:pPr>
              <w:pStyle w:val="LO-Normal"/>
              <w:widowControl/>
              <w:spacing w:before="0"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30</w:t>
            </w:r>
          </w:p>
        </w:tc>
      </w:tr>
      <w:tr>
        <w:trPr/>
        <w:tc>
          <w:tcPr>
            <w:tcW w:w="561" w:type="dxa"/>
            <w:tcBorders>
              <w:top w:val="nil"/>
            </w:tcBorders>
          </w:tcPr>
          <w:p>
            <w:pPr>
              <w:pStyle w:val="LO-Normal"/>
              <w:widowControl/>
              <w:spacing w:before="0" w:after="0"/>
              <w:jc w:val="left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8</w:t>
            </w:r>
          </w:p>
        </w:tc>
        <w:tc>
          <w:tcPr>
            <w:tcW w:w="3118" w:type="dxa"/>
            <w:tcBorders>
              <w:top w:val="nil"/>
            </w:tcBorders>
          </w:tcPr>
          <w:p>
            <w:pPr>
              <w:pStyle w:val="LO-Normal"/>
              <w:spacing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 xml:space="preserve">вул. Тараса Давидюка, </w:t>
            </w:r>
            <w:r>
              <w:rPr>
                <w:shd w:fill="auto" w:val="clear"/>
                <w:lang w:val="uk-UA"/>
              </w:rPr>
              <w:t>1-Б</w:t>
            </w:r>
          </w:p>
        </w:tc>
        <w:tc>
          <w:tcPr>
            <w:tcW w:w="1559" w:type="dxa"/>
            <w:tcBorders>
              <w:top w:val="nil"/>
            </w:tcBorders>
          </w:tcPr>
          <w:p>
            <w:pPr>
              <w:pStyle w:val="LO-Normal"/>
              <w:widowControl/>
              <w:spacing w:before="0" w:after="0"/>
              <w:jc w:val="center"/>
              <w:rPr>
                <w:szCs w:val="24"/>
                <w:lang w:val="uk-UA"/>
              </w:rPr>
            </w:pPr>
            <w:r>
              <w:rPr>
                <w:kern w:val="0"/>
                <w:lang w:bidi="ar-SA"/>
              </w:rPr>
              <w:t>земельна ділянка</w:t>
            </w:r>
          </w:p>
        </w:tc>
        <w:tc>
          <w:tcPr>
            <w:tcW w:w="993" w:type="dxa"/>
            <w:tcBorders>
              <w:top w:val="nil"/>
            </w:tcBorders>
          </w:tcPr>
          <w:p>
            <w:pPr>
              <w:pStyle w:val="LO-Normal"/>
              <w:spacing w:before="0" w:after="0"/>
              <w:jc w:val="center"/>
              <w:rPr>
                <w:lang w:val="uk-UA"/>
              </w:rPr>
            </w:pPr>
            <w:r>
              <w:rPr>
                <w:lang w:val="uk-UA"/>
              </w:rPr>
              <w:t>400</w:t>
            </w:r>
          </w:p>
        </w:tc>
        <w:tc>
          <w:tcPr>
            <w:tcW w:w="3404" w:type="dxa"/>
            <w:tcBorders>
              <w:top w:val="nil"/>
            </w:tcBorders>
          </w:tcPr>
          <w:p>
            <w:pPr>
              <w:pStyle w:val="LO-Normal"/>
              <w:numPr>
                <w:ilvl w:val="0"/>
                <w:numId w:val="0"/>
              </w:numPr>
              <w:spacing w:before="0" w:after="0"/>
              <w:ind w:hanging="0" w:left="0"/>
              <w:jc w:val="both"/>
              <w:rPr/>
            </w:pPr>
            <w:r>
              <w:rPr>
                <w:szCs w:val="24"/>
                <w:shd w:fill="auto" w:val="clear"/>
                <w:lang w:val="uk-UA"/>
              </w:rPr>
              <w:t>ПП ЕКФ «Приватна справа»</w:t>
            </w:r>
          </w:p>
          <w:p>
            <w:pPr>
              <w:pStyle w:val="LO-Normal"/>
              <w:numPr>
                <w:ilvl w:val="0"/>
                <w:numId w:val="0"/>
              </w:numPr>
              <w:spacing w:before="0" w:after="0"/>
              <w:ind w:hanging="0" w:left="0"/>
              <w:jc w:val="both"/>
              <w:rPr/>
            </w:pPr>
            <w:r>
              <w:rPr>
                <w:szCs w:val="24"/>
                <w:shd w:fill="auto" w:val="clear"/>
                <w:lang w:val="uk-UA"/>
              </w:rPr>
              <w:t>ТОВ ЕФ «Нива-Експерт»</w:t>
            </w:r>
          </w:p>
          <w:p>
            <w:pPr>
              <w:pStyle w:val="LO-Normal"/>
              <w:numPr>
                <w:ilvl w:val="0"/>
                <w:numId w:val="0"/>
              </w:numPr>
              <w:spacing w:before="0" w:after="0"/>
              <w:ind w:hanging="0" w:left="0"/>
              <w:jc w:val="both"/>
              <w:rPr/>
            </w:pPr>
            <w:r>
              <w:rPr>
                <w:shd w:fill="auto" w:val="clear"/>
              </w:rPr>
              <w:t>ППФ «Експерт-Рівне»</w:t>
            </w:r>
          </w:p>
        </w:tc>
        <w:tc>
          <w:tcPr>
            <w:tcW w:w="2947" w:type="dxa"/>
            <w:tcBorders>
              <w:top w:val="nil"/>
            </w:tcBorders>
          </w:tcPr>
          <w:p>
            <w:pPr>
              <w:pStyle w:val="LO-Normal"/>
              <w:numPr>
                <w:ilvl w:val="0"/>
                <w:numId w:val="0"/>
              </w:numPr>
              <w:spacing w:before="0" w:after="0"/>
              <w:ind w:hanging="0" w:left="0"/>
              <w:jc w:val="left"/>
              <w:rPr/>
            </w:pPr>
            <w:r>
              <w:rPr>
                <w:szCs w:val="24"/>
                <w:shd w:fill="auto" w:val="clear"/>
                <w:lang w:val="uk-UA"/>
              </w:rPr>
              <w:t>ТОВ ЕФ «Нива-Експерт»</w:t>
            </w:r>
          </w:p>
        </w:tc>
        <w:tc>
          <w:tcPr>
            <w:tcW w:w="1308" w:type="dxa"/>
            <w:tcBorders>
              <w:top w:val="nil"/>
            </w:tcBorders>
          </w:tcPr>
          <w:p>
            <w:pPr>
              <w:pStyle w:val="LO-Normal"/>
              <w:widowControl/>
              <w:spacing w:before="0" w:after="0"/>
              <w:ind w:left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5800,00</w:t>
            </w:r>
          </w:p>
        </w:tc>
        <w:tc>
          <w:tcPr>
            <w:tcW w:w="1408" w:type="dxa"/>
            <w:tcBorders>
              <w:top w:val="nil"/>
            </w:tcBorders>
          </w:tcPr>
          <w:p>
            <w:pPr>
              <w:pStyle w:val="LO-Normal"/>
              <w:widowControl/>
              <w:spacing w:before="0"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21</w:t>
            </w:r>
          </w:p>
        </w:tc>
      </w:tr>
      <w:tr>
        <w:trPr/>
        <w:tc>
          <w:tcPr>
            <w:tcW w:w="561" w:type="dxa"/>
            <w:tcBorders>
              <w:top w:val="nil"/>
            </w:tcBorders>
          </w:tcPr>
          <w:p>
            <w:pPr>
              <w:pStyle w:val="LO-Normal"/>
              <w:widowControl/>
              <w:spacing w:before="0" w:after="0"/>
              <w:jc w:val="left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9</w:t>
            </w:r>
          </w:p>
        </w:tc>
        <w:tc>
          <w:tcPr>
            <w:tcW w:w="3118" w:type="dxa"/>
            <w:tcBorders>
              <w:top w:val="nil"/>
            </w:tcBorders>
          </w:tcPr>
          <w:p>
            <w:pPr>
              <w:pStyle w:val="LO-Normal"/>
              <w:spacing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 xml:space="preserve">вул. Володимира Стельмаха, </w:t>
            </w:r>
            <w:r>
              <w:rPr>
                <w:shd w:fill="auto" w:val="clear"/>
                <w:lang w:val="uk-UA"/>
              </w:rPr>
              <w:t>53</w:t>
            </w:r>
          </w:p>
        </w:tc>
        <w:tc>
          <w:tcPr>
            <w:tcW w:w="1559" w:type="dxa"/>
            <w:tcBorders>
              <w:top w:val="nil"/>
            </w:tcBorders>
          </w:tcPr>
          <w:p>
            <w:pPr>
              <w:pStyle w:val="LO-Normal"/>
              <w:widowControl/>
              <w:spacing w:before="0" w:after="0"/>
              <w:jc w:val="center"/>
              <w:rPr>
                <w:szCs w:val="24"/>
                <w:lang w:val="uk-UA"/>
              </w:rPr>
            </w:pPr>
            <w:r>
              <w:rPr>
                <w:kern w:val="0"/>
                <w:lang w:bidi="ar-SA"/>
              </w:rPr>
              <w:t>земельна ділянка</w:t>
            </w:r>
          </w:p>
        </w:tc>
        <w:tc>
          <w:tcPr>
            <w:tcW w:w="993" w:type="dxa"/>
            <w:tcBorders>
              <w:top w:val="nil"/>
            </w:tcBorders>
          </w:tcPr>
          <w:p>
            <w:pPr>
              <w:pStyle w:val="LO-Normal"/>
              <w:spacing w:before="0" w:after="0"/>
              <w:jc w:val="center"/>
              <w:rPr>
                <w:lang w:val="uk-UA"/>
              </w:rPr>
            </w:pPr>
            <w:r>
              <w:rPr>
                <w:lang w:val="uk-UA"/>
              </w:rPr>
              <w:t>1606</w:t>
            </w:r>
          </w:p>
        </w:tc>
        <w:tc>
          <w:tcPr>
            <w:tcW w:w="3404" w:type="dxa"/>
            <w:tcBorders>
              <w:top w:val="nil"/>
            </w:tcBorders>
          </w:tcPr>
          <w:p>
            <w:pPr>
              <w:pStyle w:val="LO-Normal"/>
              <w:numPr>
                <w:ilvl w:val="0"/>
                <w:numId w:val="0"/>
              </w:numPr>
              <w:spacing w:before="0" w:after="0"/>
              <w:ind w:hanging="0" w:left="0"/>
              <w:jc w:val="both"/>
              <w:rPr/>
            </w:pPr>
            <w:r>
              <w:rPr>
                <w:szCs w:val="24"/>
                <w:shd w:fill="auto" w:val="clear"/>
                <w:lang w:val="uk-UA"/>
              </w:rPr>
              <w:t>ТОВ ОК «Україна-Захід»</w:t>
            </w:r>
          </w:p>
          <w:p>
            <w:pPr>
              <w:pStyle w:val="LO-Normal"/>
              <w:numPr>
                <w:ilvl w:val="0"/>
                <w:numId w:val="0"/>
              </w:numPr>
              <w:spacing w:before="0" w:after="0"/>
              <w:ind w:hanging="0" w:left="0"/>
              <w:jc w:val="both"/>
              <w:rPr/>
            </w:pPr>
            <w:r>
              <w:rPr>
                <w:szCs w:val="24"/>
                <w:shd w:fill="auto" w:val="clear"/>
                <w:lang w:val="uk-UA"/>
              </w:rPr>
              <w:t>ПП «Експерт-Рівне-Консалт»</w:t>
            </w:r>
          </w:p>
        </w:tc>
        <w:tc>
          <w:tcPr>
            <w:tcW w:w="2947" w:type="dxa"/>
            <w:tcBorders>
              <w:top w:val="nil"/>
            </w:tcBorders>
          </w:tcPr>
          <w:p>
            <w:pPr>
              <w:pStyle w:val="LO-Normal"/>
              <w:numPr>
                <w:ilvl w:val="0"/>
                <w:numId w:val="0"/>
              </w:numPr>
              <w:spacing w:before="0" w:after="0"/>
              <w:ind w:hanging="0" w:left="0"/>
              <w:jc w:val="left"/>
              <w:rPr/>
            </w:pPr>
            <w:r>
              <w:rPr>
                <w:szCs w:val="24"/>
                <w:shd w:fill="auto" w:val="clear"/>
                <w:lang w:val="uk-UA"/>
              </w:rPr>
              <w:t>ПП «Експерт-Рівне-Консалт»</w:t>
            </w:r>
          </w:p>
        </w:tc>
        <w:tc>
          <w:tcPr>
            <w:tcW w:w="1308" w:type="dxa"/>
            <w:tcBorders>
              <w:top w:val="nil"/>
            </w:tcBorders>
          </w:tcPr>
          <w:p>
            <w:pPr>
              <w:pStyle w:val="LO-Normal"/>
              <w:widowControl/>
              <w:spacing w:before="0" w:after="0"/>
              <w:ind w:left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8800,00</w:t>
            </w:r>
          </w:p>
        </w:tc>
        <w:tc>
          <w:tcPr>
            <w:tcW w:w="1408" w:type="dxa"/>
            <w:tcBorders>
              <w:top w:val="nil"/>
            </w:tcBorders>
          </w:tcPr>
          <w:p>
            <w:pPr>
              <w:pStyle w:val="LO-Normal"/>
              <w:widowControl/>
              <w:spacing w:before="0"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30</w:t>
            </w:r>
          </w:p>
        </w:tc>
      </w:tr>
    </w:tbl>
    <w:p>
      <w:pPr>
        <w:pStyle w:val="LO-Normal"/>
        <w:spacing w:before="0" w:after="0"/>
        <w:rPr>
          <w:szCs w:val="24"/>
          <w:lang w:val="uk-UA"/>
        </w:rPr>
      </w:pPr>
      <w:r>
        <w:rPr>
          <w:szCs w:val="24"/>
          <w:lang w:val="uk-UA"/>
        </w:rPr>
      </w:r>
    </w:p>
    <w:p>
      <w:pPr>
        <w:pStyle w:val="LO-Normal"/>
        <w:spacing w:before="0" w:after="0"/>
        <w:rPr>
          <w:szCs w:val="24"/>
          <w:lang w:val="uk-UA"/>
        </w:rPr>
      </w:pPr>
      <w:r>
        <w:rPr>
          <w:szCs w:val="24"/>
          <w:lang w:val="uk-UA"/>
        </w:rPr>
      </w:r>
    </w:p>
    <w:p>
      <w:pPr>
        <w:pStyle w:val="LO-Normal"/>
        <w:spacing w:before="0" w:after="0"/>
        <w:rPr>
          <w:szCs w:val="24"/>
          <w:lang w:val="uk-UA"/>
        </w:rPr>
      </w:pPr>
      <w:r>
        <w:rPr>
          <w:szCs w:val="24"/>
          <w:lang w:val="uk-UA"/>
        </w:rPr>
      </w:r>
    </w:p>
    <w:p>
      <w:pPr>
        <w:pStyle w:val="LO-Normal"/>
        <w:spacing w:before="0" w:after="0"/>
        <w:rPr>
          <w:szCs w:val="24"/>
          <w:lang w:val="uk-UA"/>
        </w:rPr>
      </w:pPr>
      <w:r>
        <w:rPr>
          <w:szCs w:val="24"/>
          <w:lang w:val="uk-UA"/>
        </w:rPr>
      </w:r>
    </w:p>
    <w:p>
      <w:pPr>
        <w:pStyle w:val="LO-Normal"/>
        <w:spacing w:before="0" w:after="0"/>
        <w:rPr>
          <w:szCs w:val="24"/>
          <w:lang w:val="uk-UA"/>
        </w:rPr>
      </w:pPr>
      <w:r>
        <w:rPr>
          <w:szCs w:val="24"/>
          <w:lang w:val="uk-UA"/>
        </w:rPr>
      </w:r>
    </w:p>
    <w:p>
      <w:pPr>
        <w:pStyle w:val="LO-Normal"/>
        <w:numPr>
          <w:ilvl w:val="0"/>
          <w:numId w:val="0"/>
        </w:numPr>
        <w:spacing w:before="0" w:after="0"/>
        <w:ind w:hanging="0" w:left="0"/>
        <w:jc w:val="both"/>
        <w:rPr>
          <w:szCs w:val="24"/>
          <w:shd w:fill="auto" w:val="clear"/>
          <w:lang w:val="uk-UA"/>
        </w:rPr>
      </w:pPr>
      <w:r>
        <w:rPr>
          <w:szCs w:val="24"/>
          <w:shd w:fill="auto" w:val="clear"/>
          <w:lang w:val="uk-UA"/>
        </w:rPr>
      </w:r>
    </w:p>
    <w:sectPr>
      <w:type w:val="nextPage"/>
      <w:pgSz w:orient="landscape" w:w="16838" w:h="11906"/>
      <w:pgMar w:left="567" w:right="567" w:gutter="0" w:header="0" w:top="567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c694b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Lucida Sans"/>
    </w:rPr>
  </w:style>
  <w:style w:type="paragraph" w:styleId="LO-Normal" w:customStyle="1">
    <w:name w:val="LO-Normal"/>
    <w:qFormat/>
    <w:rsid w:val="000c694b"/>
    <w:pPr>
      <w:widowControl/>
      <w:suppressAutoHyphens w:val="true"/>
      <w:bidi w:val="0"/>
      <w:spacing w:lineRule="auto" w:line="240" w:before="100" w:after="10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zh-CN" w:bidi="ar-SA"/>
    </w:rPr>
  </w:style>
  <w:style w:type="paragraph" w:styleId="Style16">
    <w:name w:val="Вміст таблиці"/>
    <w:basedOn w:val="Normal"/>
    <w:qFormat/>
    <w:pPr>
      <w:widowControl w:val="false"/>
      <w:suppressLineNumbers/>
    </w:pPr>
    <w:rPr/>
  </w:style>
  <w:style w:type="paragraph" w:styleId="Style17">
    <w:name w:val="Заголовок таблиці"/>
    <w:basedOn w:val="Style16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673f7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6C698B-2E24-4164-AA6F-7AA6EE970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Application>LibreOffice/7.6.5.2$Windows_X86_64 LibreOffice_project/38d5f62f85355c192ef5f1dd47c5c0c0c6d6598b</Application>
  <AppVersion>15.0000</AppVersion>
  <Pages>1</Pages>
  <Words>240</Words>
  <Characters>1479</Characters>
  <CharactersWithSpaces>1623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2024-02-13T12:53:00Z</dcterms:created>
  <dc:creator>User</dc:creator>
  <dc:description/>
  <dc:language>uk-UA</dc:language>
  <cp:lastModifiedBy/>
  <cp:lastPrinted>2025-04-11T15:18:22Z</cp:lastPrinted>
  <dcterms:modified xsi:type="dcterms:W3CDTF">2025-04-14T09:36:23Z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